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5DC66" w14:textId="77777777" w:rsidR="00233118" w:rsidRPr="00B72342" w:rsidRDefault="00233118" w:rsidP="00E05852">
      <w:pPr>
        <w:pStyle w:val="Title"/>
      </w:pPr>
    </w:p>
    <w:p w14:paraId="2DA50DC5" w14:textId="77777777" w:rsidR="00233118" w:rsidRPr="00B72342" w:rsidRDefault="00233118" w:rsidP="00E05852">
      <w:pPr>
        <w:pStyle w:val="Title"/>
      </w:pPr>
      <w:r>
        <w:t xml:space="preserve">Fonds pour les nouvelles des radios commerciales </w:t>
      </w:r>
      <w:r w:rsidRPr="00B72342">
        <w:t>(F</w:t>
      </w:r>
      <w:r>
        <w:t>NRC</w:t>
      </w:r>
      <w:r w:rsidRPr="00B72342">
        <w:t>)</w:t>
      </w:r>
    </w:p>
    <w:p w14:paraId="300E1ACE" w14:textId="77777777" w:rsidR="00233118" w:rsidRPr="00B72342" w:rsidRDefault="00233118" w:rsidP="00E05852">
      <w:pPr>
        <w:pStyle w:val="Subtitle"/>
      </w:pPr>
      <w:r>
        <w:t>Le plan opérationnel proposé par l’ACR</w:t>
      </w:r>
    </w:p>
    <w:p w14:paraId="28271B51" w14:textId="77777777" w:rsidR="00233118" w:rsidRPr="00B72342" w:rsidRDefault="00233118" w:rsidP="00E05852"/>
    <w:p w14:paraId="7F4FBB07" w14:textId="77777777" w:rsidR="00233118" w:rsidRPr="00B72342" w:rsidRDefault="00233118" w:rsidP="00E05852">
      <w:r>
        <w:t xml:space="preserve">Comme le demande le </w:t>
      </w:r>
      <w:r w:rsidRPr="00B72342">
        <w:t xml:space="preserve">CRTC </w:t>
      </w:r>
      <w:r>
        <w:t>da</w:t>
      </w:r>
      <w:r w:rsidRPr="00B72342">
        <w:t>n</w:t>
      </w:r>
      <w:r>
        <w:t xml:space="preserve">s sa Politique réglementaire de radiodiffusion </w:t>
      </w:r>
      <w:r w:rsidRPr="00B72342">
        <w:t xml:space="preserve">CRTC </w:t>
      </w:r>
      <w:hyperlink r:id="rId8" w:history="1">
        <w:r w:rsidRPr="00B72342">
          <w:rPr>
            <w:rStyle w:val="Hyperlink"/>
          </w:rPr>
          <w:t>2024-121</w:t>
        </w:r>
      </w:hyperlink>
      <w:r>
        <w:rPr>
          <w:rStyle w:val="Hyperlink"/>
        </w:rPr>
        <w:t xml:space="preserve"> </w:t>
      </w:r>
      <w:r w:rsidRPr="00E369E1">
        <w:rPr>
          <w:rStyle w:val="Hyperlink"/>
        </w:rPr>
        <w:t>du 4 juin 2024</w:t>
      </w:r>
      <w:r>
        <w:rPr>
          <w:rStyle w:val="Hyperlink"/>
        </w:rPr>
        <w:t xml:space="preserve"> </w:t>
      </w:r>
      <w:r w:rsidRPr="00B72342">
        <w:t>(P</w:t>
      </w:r>
      <w:r>
        <w:t>RR</w:t>
      </w:r>
      <w:r w:rsidRPr="00B72342">
        <w:t> 2024-121)</w:t>
      </w:r>
      <w:r w:rsidRPr="00233118">
        <w:t xml:space="preserve">, </w:t>
      </w:r>
      <w:r>
        <w:rPr>
          <w:i/>
          <w:iCs/>
        </w:rPr>
        <w:t>La voie à suivre – Soutenir le contenu canadien et autochtone au moyen de contributions de base</w:t>
      </w:r>
      <w:r w:rsidRPr="00B72342">
        <w:t xml:space="preserve">, </w:t>
      </w:r>
      <w:r>
        <w:t xml:space="preserve">ce </w:t>
      </w:r>
      <w:r w:rsidRPr="00B72342">
        <w:t xml:space="preserve">document </w:t>
      </w:r>
      <w:r>
        <w:t xml:space="preserve">énonce le plan opérationnel proposé par l’Association canadienne des </w:t>
      </w:r>
      <w:r w:rsidRPr="00E05852">
        <w:t>radiodiffuseurs</w:t>
      </w:r>
      <w:r>
        <w:t xml:space="preserve"> (ACR) concernant un nouveau fonds pour soutenir la </w:t>
      </w:r>
      <w:r w:rsidRPr="00B72342">
        <w:t>production</w:t>
      </w:r>
      <w:r>
        <w:t xml:space="preserve"> de nouvelles par les stations de radio commerciale qui fonctionnent en dehors des marchés désignés de </w:t>
      </w:r>
      <w:r w:rsidRPr="00B72342">
        <w:t>Montr</w:t>
      </w:r>
      <w:r>
        <w:t>é</w:t>
      </w:r>
      <w:r w:rsidRPr="00B72342">
        <w:t xml:space="preserve">al, Toronto, Vancouver, Calgary, Edmonton </w:t>
      </w:r>
      <w:r>
        <w:t>et</w:t>
      </w:r>
      <w:r w:rsidRPr="00B72342">
        <w:t xml:space="preserve"> Ottawa-Gatineau.</w:t>
      </w:r>
    </w:p>
    <w:p w14:paraId="30C6FC1F" w14:textId="77777777" w:rsidR="00233118" w:rsidRPr="00233118" w:rsidRDefault="00233118" w:rsidP="00E05852">
      <w:pPr>
        <w:pStyle w:val="Heading1"/>
      </w:pPr>
      <w:r w:rsidRPr="00233118">
        <w:t>Introduction</w:t>
      </w:r>
    </w:p>
    <w:p w14:paraId="5CC2FF69" w14:textId="77777777" w:rsidR="00233118" w:rsidRPr="00B72342" w:rsidRDefault="00233118" w:rsidP="00E05852">
      <w:r>
        <w:t>Da</w:t>
      </w:r>
      <w:r w:rsidRPr="00B72342">
        <w:t>n</w:t>
      </w:r>
      <w:r>
        <w:t xml:space="preserve">s sa </w:t>
      </w:r>
      <w:r w:rsidRPr="00B72342">
        <w:t>P</w:t>
      </w:r>
      <w:r>
        <w:t>RR</w:t>
      </w:r>
      <w:r w:rsidRPr="00B72342">
        <w:t xml:space="preserve"> 2024-121, </w:t>
      </w:r>
      <w:r>
        <w:t>le</w:t>
      </w:r>
      <w:r w:rsidRPr="00B72342">
        <w:t xml:space="preserve"> Co</w:t>
      </w:r>
      <w:r>
        <w:t xml:space="preserve">nseil a invité l’ACR à soumettre un </w:t>
      </w:r>
      <w:r w:rsidRPr="00B72342">
        <w:t>plan</w:t>
      </w:r>
      <w:r>
        <w:t xml:space="preserve"> opérationnel pour </w:t>
      </w:r>
      <w:r w:rsidRPr="00B72342">
        <w:t>administr</w:t>
      </w:r>
      <w:r>
        <w:t xml:space="preserve">er un nouveau fonds qui soutiendrait le secteur de la radio commerciale. Il a déclaré en particulier aux paragraphes 172 et 173, ce qui suit : </w:t>
      </w:r>
    </w:p>
    <w:p w14:paraId="3FCD4A4B" w14:textId="77777777" w:rsidR="00233118" w:rsidRPr="009E408B" w:rsidRDefault="00233118" w:rsidP="00E05852">
      <w:r w:rsidRPr="009E408B">
        <w:t>Le Conseil estime que l’ACR est bien placée pour gérer un fonds qui soutiendrait le secteur de la radio commerciale. Par conséquent, le Conseil invite l’ACR à soumettre, au plus tard le 4 juillet 2024, un plan opérationnel pour administrer un fonds temporaire qui soutiendrait la production de nouvelles par les stations de radio commerciale en dehors des marchés désignés susmentionnés. Dans ce plan, l’ACR doit démontrer qu’elle possède la capacité de gérer ce fonds, indiquer la date à laquelle elle estime que le fonds pourrait être opérationnel et fournir des renseignements sur le fonds, y compris la gouvernance, les critères d’admissibilité, les mesures de reddition de compte, les exigences en matière de rapports et la méthode d’allocation du financement. Le plan devrait aussi fournir des détails sur les initiatives de sensibilisation proposées que l’ACR compte mettre en œuvre pour promouvoir l’accessibilité du fonds à toutes les stations de radio commerciale situées en dehors des marchés désignés, y compris celles qui servent des communautés ethnoculturelles et autochtones. Le Conseil lancera une consultation publique pour solliciter des observations sur le plan soumis par l’ACR.</w:t>
      </w:r>
    </w:p>
    <w:p w14:paraId="41A7EF58" w14:textId="77777777" w:rsidR="00233118" w:rsidRPr="009E408B" w:rsidRDefault="00233118" w:rsidP="00E05852">
      <w:r w:rsidRPr="009E408B">
        <w:t xml:space="preserve">Ce fonds devrait être opérationnel au cours de l’année de radiodiffusion 2024-2025. Par conséquent, le Conseil exigera qu’une partie des contributions de base soit allouée à un nouveau fonds temporaire, qui sera administré par l’ACR, pour permettre la production d’émissions de nouvelles par les stations de radio commerciale. Les entreprises en ligne devront allouer au moins 1,5 % de leurs revenus de contribution annuels tirés de </w:t>
      </w:r>
      <w:proofErr w:type="gramStart"/>
      <w:r w:rsidRPr="009E408B">
        <w:t>leurs activités audio</w:t>
      </w:r>
      <w:proofErr w:type="gramEnd"/>
      <w:r w:rsidRPr="009E408B">
        <w:t xml:space="preserve"> au nouveau fonds temporaire pour les nouvelles. Le Conseil est d’avis que l’allocation de 1,5 % est appropriée pour offrir un soutien essentiel aux stations de radio qui offrent des nouvelles fondées sur des faits en temps opportun aux communautés qu’elles desservent. Elle témoigne également de l’importance de la couverture des nouvelles visée au sous-alinéa 3(1</w:t>
      </w:r>
      <w:proofErr w:type="gramStart"/>
      <w:r w:rsidRPr="009E408B">
        <w:t>)i)(</w:t>
      </w:r>
      <w:proofErr w:type="gramEnd"/>
      <w:r w:rsidRPr="009E408B">
        <w:t>ii.1) de la </w:t>
      </w:r>
      <w:r w:rsidRPr="00540CED">
        <w:rPr>
          <w:rStyle w:val="Emphasis"/>
          <w:rFonts w:cstheme="minorHAnsi"/>
          <w:color w:val="333333"/>
        </w:rPr>
        <w:t>Loi sur la radiodiffusion</w:t>
      </w:r>
      <w:r w:rsidRPr="009E408B">
        <w:t>.</w:t>
      </w:r>
    </w:p>
    <w:p w14:paraId="2B44975D" w14:textId="77777777" w:rsidR="00233118" w:rsidRPr="00E05852" w:rsidRDefault="00233118" w:rsidP="00E05852">
      <w:pPr>
        <w:pStyle w:val="Heading1"/>
      </w:pPr>
      <w:r w:rsidRPr="00E05852">
        <w:lastRenderedPageBreak/>
        <w:t xml:space="preserve">Le </w:t>
      </w:r>
      <w:proofErr w:type="spellStart"/>
      <w:r w:rsidRPr="00E05852">
        <w:t>lancement</w:t>
      </w:r>
      <w:proofErr w:type="spellEnd"/>
      <w:r w:rsidRPr="00E05852">
        <w:t xml:space="preserve"> du Fonds pour les </w:t>
      </w:r>
      <w:proofErr w:type="spellStart"/>
      <w:r w:rsidRPr="00E05852">
        <w:t>nouvelles</w:t>
      </w:r>
      <w:proofErr w:type="spellEnd"/>
      <w:r w:rsidRPr="00E05852">
        <w:t xml:space="preserve"> des radios </w:t>
      </w:r>
      <w:proofErr w:type="spellStart"/>
      <w:r w:rsidRPr="00E05852">
        <w:t>commerciales</w:t>
      </w:r>
      <w:proofErr w:type="spellEnd"/>
    </w:p>
    <w:p w14:paraId="016F8EAD" w14:textId="77777777" w:rsidR="00233118" w:rsidRPr="00B72342" w:rsidRDefault="00233118" w:rsidP="00E05852">
      <w:r>
        <w:t xml:space="preserve">Conformément aux indications fournies par le Conseil dans la PRR </w:t>
      </w:r>
      <w:r w:rsidRPr="00B72342">
        <w:t xml:space="preserve">2024-121, </w:t>
      </w:r>
      <w:r>
        <w:t>l’ACR propose de lancer le</w:t>
      </w:r>
      <w:r w:rsidRPr="00587435">
        <w:rPr>
          <w:b/>
          <w:bCs/>
        </w:rPr>
        <w:t xml:space="preserve"> </w:t>
      </w:r>
      <w:r w:rsidRPr="00B72342">
        <w:rPr>
          <w:b/>
          <w:bCs/>
        </w:rPr>
        <w:t>Fonds pour les nouvelles des radios commerciales (FNRC)</w:t>
      </w:r>
      <w:r>
        <w:rPr>
          <w:b/>
          <w:bCs/>
        </w:rPr>
        <w:t xml:space="preserve"> </w:t>
      </w:r>
      <w:r w:rsidRPr="00B72342">
        <w:rPr>
          <w:b/>
          <w:bCs/>
        </w:rPr>
        <w:t>|</w:t>
      </w:r>
      <w:r w:rsidRPr="00B72342">
        <w:t xml:space="preserve"> </w:t>
      </w:r>
      <w:r w:rsidRPr="00B72342">
        <w:rPr>
          <w:b/>
          <w:bCs/>
        </w:rPr>
        <w:t xml:space="preserve">Commercial Radio News </w:t>
      </w:r>
      <w:proofErr w:type="spellStart"/>
      <w:r w:rsidRPr="00B72342">
        <w:rPr>
          <w:b/>
          <w:bCs/>
        </w:rPr>
        <w:t>Fund</w:t>
      </w:r>
      <w:proofErr w:type="spellEnd"/>
      <w:r w:rsidRPr="00B72342">
        <w:rPr>
          <w:b/>
          <w:bCs/>
        </w:rPr>
        <w:t xml:space="preserve"> (CRNF) </w:t>
      </w:r>
      <w:r w:rsidRPr="00587435">
        <w:t>le 1</w:t>
      </w:r>
      <w:r w:rsidRPr="00587435">
        <w:rPr>
          <w:vertAlign w:val="superscript"/>
        </w:rPr>
        <w:t>er</w:t>
      </w:r>
      <w:r w:rsidRPr="00587435">
        <w:t xml:space="preserve"> septembre </w:t>
      </w:r>
      <w:r w:rsidRPr="00B72342">
        <w:t xml:space="preserve">2024. </w:t>
      </w:r>
    </w:p>
    <w:p w14:paraId="2FC125B1" w14:textId="77777777" w:rsidR="00233118" w:rsidRPr="00B72342" w:rsidRDefault="00233118" w:rsidP="00E05852">
      <w:pPr>
        <w:pStyle w:val="Heading1"/>
      </w:pPr>
      <w:r>
        <w:t>La capacité de l’ACR de gérer le Fonds</w:t>
      </w:r>
    </w:p>
    <w:p w14:paraId="1FCFBC8A" w14:textId="77777777" w:rsidR="00233118" w:rsidRPr="00B72342" w:rsidRDefault="00233118" w:rsidP="00E05852">
      <w:r>
        <w:t xml:space="preserve">L’ACR se charge depuis longtemps de gérer de façon équitable et transparente des fonds créés par le </w:t>
      </w:r>
      <w:r w:rsidRPr="00B72342">
        <w:t>CRTC</w:t>
      </w:r>
      <w:r>
        <w:t xml:space="preserve">, dont le Fonds pour l’amélioration de la programmation locale, le Fonds pour la programmation locale dans les petits marchés et le Fonds pour les nouvelles locales indépendantes (FNLI). L’ACR gère le FNLI depuis </w:t>
      </w:r>
      <w:r w:rsidRPr="00B72342">
        <w:t>2017</w:t>
      </w:r>
      <w:r>
        <w:t xml:space="preserve"> avec succès. Pendant cette période elle a reçu </w:t>
      </w:r>
      <w:r w:rsidRPr="00B72342">
        <w:t>135 million</w:t>
      </w:r>
      <w:r>
        <w:t xml:space="preserve">s de dollars de la part d’EDR et a </w:t>
      </w:r>
      <w:r w:rsidRPr="00B72342">
        <w:t>distribu</w:t>
      </w:r>
      <w:r>
        <w:t xml:space="preserve">é ces </w:t>
      </w:r>
      <w:r w:rsidRPr="00B72342">
        <w:t>contributions</w:t>
      </w:r>
      <w:r>
        <w:t xml:space="preserve"> mensuellement aux radiodiffuseurs admissibles comme elle l’a rapporté au Conseil chaque année, et ce à la satisfaction de toutes les parties concernées.    </w:t>
      </w:r>
    </w:p>
    <w:p w14:paraId="0758D25C" w14:textId="693A28FB" w:rsidR="00233118" w:rsidRPr="00B72342" w:rsidRDefault="00233118" w:rsidP="00E05852">
      <w:r>
        <w:t xml:space="preserve">De plus, l’ACR a été choisie pour gérer l’enveloppe de la radiodiffusion du fonds de soutien d’urgence relatif à la COVID-19 qui fut mis sur pied par le gouvernement fédéral et le fonds de rétablissement pour le soutien </w:t>
      </w:r>
      <w:proofErr w:type="gramStart"/>
      <w:r>
        <w:t>aux nouvelles relatif</w:t>
      </w:r>
      <w:proofErr w:type="gramEnd"/>
      <w:r>
        <w:t xml:space="preserve"> à la COVID-19, montrant ainsi combien l’Association est digne de confiance</w:t>
      </w:r>
      <w:r w:rsidRPr="00B72342">
        <w:t>.</w:t>
      </w:r>
      <w:r>
        <w:t xml:space="preserve"> L’ACR entreprend de gérer des fonds du genre en tant que </w:t>
      </w:r>
      <w:r w:rsidRPr="00B72342">
        <w:t xml:space="preserve">service </w:t>
      </w:r>
      <w:r>
        <w:t>à l’industrie et, à ce titre, elle réduit le plus possible les frais administratifs</w:t>
      </w:r>
      <w:r w:rsidRPr="00B72342">
        <w:t>.</w:t>
      </w:r>
    </w:p>
    <w:p w14:paraId="758AC7CB" w14:textId="77777777" w:rsidR="00233118" w:rsidRPr="00B72342" w:rsidRDefault="00233118" w:rsidP="00E05852">
      <w:pPr>
        <w:pStyle w:val="Heading1"/>
      </w:pPr>
      <w:r>
        <w:t>Les c</w:t>
      </w:r>
      <w:r w:rsidRPr="00B72342">
        <w:t>rit</w:t>
      </w:r>
      <w:r>
        <w:t>è</w:t>
      </w:r>
      <w:r w:rsidRPr="00B72342">
        <w:t>r</w:t>
      </w:r>
      <w:r>
        <w:t>es d’admissibilité</w:t>
      </w:r>
    </w:p>
    <w:p w14:paraId="681FB5AC" w14:textId="77777777" w:rsidR="00233118" w:rsidRPr="00B72342" w:rsidRDefault="00233118" w:rsidP="00E05852">
      <w:pPr>
        <w:ind w:right="-180"/>
      </w:pPr>
      <w:r>
        <w:t xml:space="preserve">Toutes les </w:t>
      </w:r>
      <w:r w:rsidRPr="00B72342">
        <w:t>stations</w:t>
      </w:r>
      <w:r>
        <w:t xml:space="preserve"> de radio autorisées par le Conseil en tant que stations de </w:t>
      </w:r>
      <w:r w:rsidRPr="00B72342">
        <w:t xml:space="preserve">radio </w:t>
      </w:r>
      <w:r>
        <w:t>commerciale qui présentent des émissions de nouvelles et d’</w:t>
      </w:r>
      <w:r w:rsidRPr="00B72342">
        <w:t>information</w:t>
      </w:r>
      <w:r>
        <w:t xml:space="preserve"> et qui fonctionnent en dehors des marchés </w:t>
      </w:r>
      <w:r w:rsidRPr="00B72342">
        <w:t>d</w:t>
      </w:r>
      <w:r>
        <w:t>é</w:t>
      </w:r>
      <w:r w:rsidRPr="00B72342">
        <w:t>sign</w:t>
      </w:r>
      <w:r>
        <w:t>és</w:t>
      </w:r>
      <w:r w:rsidRPr="00B72342">
        <w:rPr>
          <w:rStyle w:val="FootnoteReference"/>
        </w:rPr>
        <w:footnoteReference w:id="1"/>
      </w:r>
      <w:r w:rsidRPr="00B72342">
        <w:t xml:space="preserve"> </w:t>
      </w:r>
      <w:r>
        <w:t>de</w:t>
      </w:r>
      <w:r w:rsidRPr="00B72342">
        <w:t xml:space="preserve"> Montr</w:t>
      </w:r>
      <w:r>
        <w:t>é</w:t>
      </w:r>
      <w:r w:rsidRPr="00B72342">
        <w:t xml:space="preserve">al, Toronto, Vancouver, Calgary, Edmonton </w:t>
      </w:r>
      <w:r>
        <w:t>et</w:t>
      </w:r>
      <w:r w:rsidRPr="00B72342">
        <w:t xml:space="preserve"> Ottawa-Gatineau </w:t>
      </w:r>
      <w:r>
        <w:t xml:space="preserve">seront des bénéficiaires admissibles au FNRC. Cela comprend les stations de radio commerciale autorisées qui desservent des communautés </w:t>
      </w:r>
      <w:r w:rsidRPr="00B72342">
        <w:t>ethnocultur</w:t>
      </w:r>
      <w:r>
        <w:t>el</w:t>
      </w:r>
      <w:r w:rsidRPr="00B72342">
        <w:t>l</w:t>
      </w:r>
      <w:r>
        <w:t>es</w:t>
      </w:r>
      <w:r w:rsidRPr="00B72342">
        <w:t xml:space="preserve"> </w:t>
      </w:r>
      <w:r>
        <w:t>et autochtones, qu’elles soient ou non membres de l’A</w:t>
      </w:r>
      <w:r w:rsidRPr="00B72342">
        <w:t xml:space="preserve">ssociation, </w:t>
      </w:r>
      <w:r>
        <w:t xml:space="preserve">à condition qu’elles </w:t>
      </w:r>
      <w:r w:rsidRPr="00B72342">
        <w:t>pro</w:t>
      </w:r>
      <w:r>
        <w:t>duisent des émissions de nouvelles et d’</w:t>
      </w:r>
      <w:r w:rsidRPr="00B72342">
        <w:t>information.</w:t>
      </w:r>
    </w:p>
    <w:p w14:paraId="23897C4D" w14:textId="77777777" w:rsidR="00233118" w:rsidRPr="00B72342" w:rsidRDefault="00233118" w:rsidP="00E05852">
      <w:pPr>
        <w:pStyle w:val="Heading1"/>
      </w:pPr>
      <w:r>
        <w:t>La méthode d’</w:t>
      </w:r>
      <w:r w:rsidRPr="00B72342">
        <w:t>allocation</w:t>
      </w:r>
      <w:r>
        <w:t xml:space="preserve"> du financement</w:t>
      </w:r>
    </w:p>
    <w:p w14:paraId="6C725044" w14:textId="77777777" w:rsidR="00233118" w:rsidRPr="00B72342" w:rsidRDefault="00233118" w:rsidP="00E05852">
      <w:r>
        <w:t xml:space="preserve">L’ACR </w:t>
      </w:r>
      <w:r w:rsidRPr="00B72342">
        <w:t>propose</w:t>
      </w:r>
      <w:r>
        <w:t xml:space="preserve"> de distribuer le financement proportionnellement à la part de chaque station admissible de la rémunération totale (salaires et traitements) payée en ce qui concerne les nouvelles dans l’année de radiodiffusion précédente, tel qu’indiqué à la ligne </w:t>
      </w:r>
      <w:r w:rsidRPr="00B72342">
        <w:t xml:space="preserve">1 </w:t>
      </w:r>
      <w:r>
        <w:t>du</w:t>
      </w:r>
      <w:r w:rsidRPr="00B72342">
        <w:t xml:space="preserve"> form</w:t>
      </w:r>
      <w:r>
        <w:t>ulaire</w:t>
      </w:r>
      <w:r w:rsidRPr="00B72342">
        <w:t xml:space="preserve"> 1130 </w:t>
      </w:r>
      <w:r>
        <w:t xml:space="preserve">au </w:t>
      </w:r>
      <w:r w:rsidRPr="00B72342">
        <w:t xml:space="preserve">CRTC </w:t>
      </w:r>
      <w:r>
        <w:t>le 30 novembre de chaque année</w:t>
      </w:r>
      <w:r w:rsidRPr="00B72342">
        <w:t>.</w:t>
      </w:r>
      <w:r w:rsidRPr="00B72342">
        <w:rPr>
          <w:rStyle w:val="FootnoteReference"/>
        </w:rPr>
        <w:footnoteReference w:id="2"/>
      </w:r>
      <w:r w:rsidRPr="00B72342">
        <w:t xml:space="preserve"> </w:t>
      </w:r>
      <w:r>
        <w:t xml:space="preserve">Aucune </w:t>
      </w:r>
      <w:r w:rsidRPr="00B72342">
        <w:t>station o</w:t>
      </w:r>
      <w:r>
        <w:t>u</w:t>
      </w:r>
      <w:r w:rsidRPr="00B72342">
        <w:t xml:space="preserve"> group</w:t>
      </w:r>
      <w:r>
        <w:t>e</w:t>
      </w:r>
      <w:r w:rsidRPr="00B72342">
        <w:t xml:space="preserve"> </w:t>
      </w:r>
      <w:r>
        <w:t>de</w:t>
      </w:r>
      <w:r w:rsidRPr="00B72342">
        <w:t xml:space="preserve"> stations </w:t>
      </w:r>
      <w:r>
        <w:t xml:space="preserve">exploité par le même titulaire de </w:t>
      </w:r>
      <w:r w:rsidRPr="00B72342">
        <w:t>licen</w:t>
      </w:r>
      <w:r>
        <w:t>c</w:t>
      </w:r>
      <w:r w:rsidRPr="00B72342">
        <w:t>e</w:t>
      </w:r>
      <w:r>
        <w:t xml:space="preserve"> dans un marché ne recevra plus de </w:t>
      </w:r>
      <w:r w:rsidRPr="00B72342">
        <w:t>12</w:t>
      </w:r>
      <w:r>
        <w:t xml:space="preserve"> </w:t>
      </w:r>
      <w:r w:rsidRPr="00B72342">
        <w:t xml:space="preserve">% </w:t>
      </w:r>
      <w:r>
        <w:t xml:space="preserve">du </w:t>
      </w:r>
      <w:r w:rsidRPr="00B72342">
        <w:t>f</w:t>
      </w:r>
      <w:r>
        <w:t>inancement dans une année de radiodiffusion</w:t>
      </w:r>
      <w:r w:rsidRPr="00B72342">
        <w:t>.</w:t>
      </w:r>
      <w:r w:rsidRPr="00B72342">
        <w:rPr>
          <w:rStyle w:val="FootnoteReference"/>
        </w:rPr>
        <w:footnoteReference w:id="3"/>
      </w:r>
    </w:p>
    <w:p w14:paraId="1A9EC34B" w14:textId="77777777" w:rsidR="00233118" w:rsidRPr="00B72342" w:rsidRDefault="00233118" w:rsidP="00E05852">
      <w:r>
        <w:lastRenderedPageBreak/>
        <w:t>Les c</w:t>
      </w:r>
      <w:r w:rsidRPr="00B72342">
        <w:t>ontributions</w:t>
      </w:r>
      <w:r>
        <w:t xml:space="preserve">, ainsi que l’intérêt acquis sur ces contributions, seront </w:t>
      </w:r>
      <w:proofErr w:type="gramStart"/>
      <w:r>
        <w:t>alloués</w:t>
      </w:r>
      <w:proofErr w:type="gramEnd"/>
      <w:r>
        <w:t xml:space="preserve"> mensuellement. L’allocation du financement sera ajustée chaque décembre selon les renseignements présentés à la fin de novembre, et la nouvelle allocation entrera en vigueur chaque janvier. </w:t>
      </w:r>
    </w:p>
    <w:p w14:paraId="57B6E53E" w14:textId="77777777" w:rsidR="00233118" w:rsidRPr="00B72342" w:rsidRDefault="00233118" w:rsidP="00E05852">
      <w:pPr>
        <w:pStyle w:val="Heading1"/>
      </w:pPr>
      <w:r>
        <w:t>La date à laquelle le Fonds sera o</w:t>
      </w:r>
      <w:r w:rsidRPr="00B72342">
        <w:t>p</w:t>
      </w:r>
      <w:r>
        <w:t>é</w:t>
      </w:r>
      <w:r w:rsidRPr="00B72342">
        <w:t>ration</w:t>
      </w:r>
      <w:r>
        <w:t>ne</w:t>
      </w:r>
      <w:r w:rsidRPr="00B72342">
        <w:t>l</w:t>
      </w:r>
    </w:p>
    <w:p w14:paraId="1E8562ED" w14:textId="77777777" w:rsidR="00233118" w:rsidRPr="00B72342" w:rsidRDefault="00233118" w:rsidP="00E05852">
      <w:r>
        <w:t>L’ACR est prête à lancer ce fonds</w:t>
      </w:r>
      <w:r w:rsidRPr="00B72342">
        <w:t xml:space="preserve"> imm</w:t>
      </w:r>
      <w:r>
        <w:t>é</w:t>
      </w:r>
      <w:r w:rsidRPr="00B72342">
        <w:t>diate</w:t>
      </w:r>
      <w:r>
        <w:t>ment et elle propose le 1</w:t>
      </w:r>
      <w:r w:rsidRPr="00075EBC">
        <w:rPr>
          <w:vertAlign w:val="superscript"/>
        </w:rPr>
        <w:t>er</w:t>
      </w:r>
      <w:r>
        <w:t xml:space="preserve"> septembre 2024 comme date à laquelle il sera opérationnel. À compter de cette </w:t>
      </w:r>
      <w:r w:rsidRPr="00B72342">
        <w:t>date</w:t>
      </w:r>
      <w:r>
        <w:t>, l’ACR sera en mesure de recevoir les</w:t>
      </w:r>
      <w:r w:rsidRPr="00B72342">
        <w:t xml:space="preserve"> contributions</w:t>
      </w:r>
      <w:r>
        <w:t xml:space="preserve"> de la part des entreprises en ligne en tant que mandataire du Conseil. Celles-ci seront détenues en fiducie dans un nouveau compte de banque jusqu’au moment où l’ACR aura pu </w:t>
      </w:r>
      <w:r w:rsidRPr="00B72342">
        <w:t>calcule</w:t>
      </w:r>
      <w:r>
        <w:t xml:space="preserve">r les </w:t>
      </w:r>
      <w:r w:rsidRPr="00B72342">
        <w:t>allocations</w:t>
      </w:r>
      <w:r>
        <w:t xml:space="preserve"> appropriées</w:t>
      </w:r>
      <w:r w:rsidRPr="00B72342">
        <w:t>.</w:t>
      </w:r>
    </w:p>
    <w:p w14:paraId="35B61A1B" w14:textId="77777777" w:rsidR="00233118" w:rsidRPr="00B72342" w:rsidRDefault="00233118" w:rsidP="00E05852">
      <w:r>
        <w:t xml:space="preserve">Étant donné que l’ACR a proposé de fonder l’allocation du financement sur les renseignements présentés au Conseil le 30 novembre de chaque année, elle commencera à débourser les montants, y compris tout intérêt acquis, en janvier </w:t>
      </w:r>
      <w:r w:rsidRPr="00B72342">
        <w:t>2025</w:t>
      </w:r>
      <w:r>
        <w:t xml:space="preserve"> et </w:t>
      </w:r>
      <w:r w:rsidRPr="00B72342">
        <w:t>continue</w:t>
      </w:r>
      <w:r>
        <w:t xml:space="preserve">ra sur une base mensuelle, en supposant que les entreprises en ligne ont fait leurs versements mensuels comme le recommande l’ACR en réponse aux ordonnances proposées par le Conseil. La première allocation du financement en janvier </w:t>
      </w:r>
      <w:r w:rsidRPr="00B72342">
        <w:t xml:space="preserve">2025 </w:t>
      </w:r>
      <w:r>
        <w:t xml:space="preserve">se composera des </w:t>
      </w:r>
      <w:r w:rsidRPr="00B72342">
        <w:t>contributions (</w:t>
      </w:r>
      <w:r>
        <w:t xml:space="preserve">et de l’intérêt) </w:t>
      </w:r>
      <w:r w:rsidRPr="00B72342">
        <w:t>re</w:t>
      </w:r>
      <w:r>
        <w:t xml:space="preserve">çus dans les mois précédents et détenus en fiducie par l’ACR. </w:t>
      </w:r>
    </w:p>
    <w:p w14:paraId="26144345" w14:textId="77777777" w:rsidR="00233118" w:rsidRPr="00B72342" w:rsidRDefault="00233118" w:rsidP="00E05852">
      <w:pPr>
        <w:pStyle w:val="Heading1"/>
      </w:pPr>
      <w:r>
        <w:t>La g</w:t>
      </w:r>
      <w:r w:rsidRPr="00B72342">
        <w:t>o</w:t>
      </w:r>
      <w:r>
        <w:t>u</w:t>
      </w:r>
      <w:r w:rsidRPr="00B72342">
        <w:t>vernance</w:t>
      </w:r>
      <w:r>
        <w:t xml:space="preserve"> et les mesures de reddition de compte</w:t>
      </w:r>
    </w:p>
    <w:p w14:paraId="72657027" w14:textId="77777777" w:rsidR="00233118" w:rsidRPr="00B72342" w:rsidRDefault="00233118" w:rsidP="00E05852">
      <w:r>
        <w:t xml:space="preserve">Étant donné que les </w:t>
      </w:r>
      <w:r w:rsidRPr="00B72342">
        <w:t>allocations</w:t>
      </w:r>
      <w:r>
        <w:t xml:space="preserve"> du financement</w:t>
      </w:r>
      <w:r w:rsidRPr="00B72342">
        <w:t xml:space="preserve"> </w:t>
      </w:r>
      <w:r>
        <w:t xml:space="preserve">se feront à partir d’une formule mathématique claire, l’ACR est d’avis qu’il n’y a pas lieu d’établir une structure de gouvernance officielle et qu’il sera nécessaire seulement que la directrice des Finances et de l’administration de l’ACR, qui possède les accréditations </w:t>
      </w:r>
      <w:r w:rsidRPr="00B72342">
        <w:t>CPA</w:t>
      </w:r>
      <w:r>
        <w:t xml:space="preserve"> et</w:t>
      </w:r>
      <w:r w:rsidRPr="00B72342">
        <w:t xml:space="preserve"> CA</w:t>
      </w:r>
      <w:r>
        <w:t xml:space="preserve">, surveille le processus. Les contrôles financiers professionnels qui sont normalement utilisés s’appliqueront, y compris les approbations redondantes de la part du Président et du Trésorier de l’ACR. De plus, nous pourrons utiliser des renseignements qui sont également présentés au </w:t>
      </w:r>
      <w:r w:rsidRPr="00B72342">
        <w:t>CRTC</w:t>
      </w:r>
      <w:r>
        <w:t>. Cela fournira un niveau élevé d’</w:t>
      </w:r>
      <w:r w:rsidRPr="00B72342">
        <w:t xml:space="preserve">assurance </w:t>
      </w:r>
      <w:r>
        <w:t xml:space="preserve">quant à l’exactitude des renseignements fournis à l’ACR qui serviront pour </w:t>
      </w:r>
      <w:r w:rsidRPr="00B72342">
        <w:t>calcule</w:t>
      </w:r>
      <w:r>
        <w:t>r</w:t>
      </w:r>
      <w:r w:rsidRPr="00B72342">
        <w:t xml:space="preserve"> </w:t>
      </w:r>
      <w:r>
        <w:t>les</w:t>
      </w:r>
      <w:r w:rsidRPr="00B72342">
        <w:t xml:space="preserve"> allocations</w:t>
      </w:r>
      <w:r>
        <w:t xml:space="preserve"> du financement</w:t>
      </w:r>
      <w:r w:rsidRPr="00B72342">
        <w:t>.</w:t>
      </w:r>
    </w:p>
    <w:p w14:paraId="7DC96AC3" w14:textId="7CFC5F40" w:rsidR="00233118" w:rsidRPr="00B72342" w:rsidRDefault="00233118" w:rsidP="00E05852">
      <w:r>
        <w:t xml:space="preserve">Tous les bénéficiaires du FNRC recevront un rapport indiquant le </w:t>
      </w:r>
      <w:r w:rsidRPr="00B72342">
        <w:t>p</w:t>
      </w:r>
      <w:r>
        <w:t>ou</w:t>
      </w:r>
      <w:r w:rsidRPr="00B72342">
        <w:t xml:space="preserve">rcentage </w:t>
      </w:r>
      <w:r>
        <w:t xml:space="preserve">du fonds qu’ils toucheront par station et aussi les coordonnées des personnes-ressources s’ils souhaitent poser des </w:t>
      </w:r>
      <w:r w:rsidRPr="00B72342">
        <w:t>questions o</w:t>
      </w:r>
      <w:r>
        <w:t xml:space="preserve">u exprimer des préoccupations. Dans le cas de divergences ou de différends, l’ACR fera appel à son Conseil des PDG de la radio qui représente largement les membres de l’ACR du secteur de la radio. </w:t>
      </w:r>
    </w:p>
    <w:p w14:paraId="49025506" w14:textId="77777777" w:rsidR="00233118" w:rsidRDefault="00233118" w:rsidP="00E05852">
      <w:r>
        <w:t xml:space="preserve">L’ACR se chargera de gérer le fonds en utilisant les </w:t>
      </w:r>
      <w:r w:rsidRPr="00B72342">
        <w:t>res</w:t>
      </w:r>
      <w:r>
        <w:t>s</w:t>
      </w:r>
      <w:r w:rsidRPr="00B72342">
        <w:t>ources</w:t>
      </w:r>
      <w:r>
        <w:t xml:space="preserve"> en place à un coût</w:t>
      </w:r>
      <w:r w:rsidRPr="00B72342">
        <w:t xml:space="preserve"> minim</w:t>
      </w:r>
      <w:r>
        <w:t>e. Les frais d’</w:t>
      </w:r>
      <w:r w:rsidRPr="00B72342">
        <w:t>administrati</w:t>
      </w:r>
      <w:r>
        <w:t xml:space="preserve">on ne dépasseront jamais </w:t>
      </w:r>
      <w:r w:rsidRPr="00B72342">
        <w:t>1</w:t>
      </w:r>
      <w:r>
        <w:t xml:space="preserve"> </w:t>
      </w:r>
      <w:r w:rsidRPr="00B72342">
        <w:t xml:space="preserve">% </w:t>
      </w:r>
      <w:r>
        <w:t xml:space="preserve">de la </w:t>
      </w:r>
      <w:r w:rsidRPr="00B72342">
        <w:t>val</w:t>
      </w:r>
      <w:r>
        <w:t>e</w:t>
      </w:r>
      <w:r w:rsidRPr="00B72342">
        <w:t>u</w:t>
      </w:r>
      <w:r>
        <w:t>r</w:t>
      </w:r>
      <w:r w:rsidRPr="00B72342">
        <w:t xml:space="preserve"> </w:t>
      </w:r>
      <w:r>
        <w:t xml:space="preserve">du fonds dans chaque année, et quoi qu’il en soit ne s’établiront jamais à plus de </w:t>
      </w:r>
      <w:r w:rsidRPr="00B72342">
        <w:t>125</w:t>
      </w:r>
      <w:r>
        <w:t xml:space="preserve"> </w:t>
      </w:r>
      <w:r w:rsidRPr="00B72342">
        <w:t>000</w:t>
      </w:r>
      <w:r>
        <w:t xml:space="preserve"> $ par an. </w:t>
      </w:r>
    </w:p>
    <w:p w14:paraId="48ED901F" w14:textId="77777777" w:rsidR="00E05852" w:rsidRDefault="00E05852" w:rsidP="00E05852"/>
    <w:p w14:paraId="21F60945" w14:textId="77777777" w:rsidR="00E05852" w:rsidRPr="00B72342" w:rsidRDefault="00E05852" w:rsidP="00E05852"/>
    <w:p w14:paraId="79849DA5" w14:textId="77777777" w:rsidR="00233118" w:rsidRPr="00B72342" w:rsidRDefault="00233118" w:rsidP="00E05852">
      <w:pPr>
        <w:pStyle w:val="Heading1"/>
      </w:pPr>
      <w:r>
        <w:lastRenderedPageBreak/>
        <w:t>Les exigences en matière de rapports</w:t>
      </w:r>
    </w:p>
    <w:p w14:paraId="6FA0B44E" w14:textId="78DF0C83" w:rsidR="00233118" w:rsidRPr="00B72342" w:rsidRDefault="00233118" w:rsidP="00E05852">
      <w:r>
        <w:t xml:space="preserve">L’ACR présentera un rapport au CRTC le 30 novembre de chaque année. Elle y </w:t>
      </w:r>
      <w:r w:rsidRPr="00B72342">
        <w:t>inclu</w:t>
      </w:r>
      <w:r>
        <w:t xml:space="preserve">ra les renseignements sur les sommes reçues et allouées en vertu du FNRC. Ces rapports suivront le modèle de ceux que l’ACR présente actuellement concernant le FNLI. Conscients du fait que le Conseil ne rend pas publics les renseignements se rapportant au revenu de toutes les entités réglementées, nous fournirons la version expurgée à l’intention du </w:t>
      </w:r>
      <w:r w:rsidRPr="00B72342">
        <w:t xml:space="preserve">public </w:t>
      </w:r>
      <w:r>
        <w:t>afin d’offrir une certaine transparence pour l’</w:t>
      </w:r>
      <w:r w:rsidRPr="00B72342">
        <w:t>industr</w:t>
      </w:r>
      <w:r>
        <w:t>ie</w:t>
      </w:r>
      <w:r w:rsidRPr="00B72342">
        <w:t>.</w:t>
      </w:r>
    </w:p>
    <w:p w14:paraId="03320DCC" w14:textId="77777777" w:rsidR="00233118" w:rsidRPr="00B72342" w:rsidRDefault="00233118" w:rsidP="00E05852">
      <w:pPr>
        <w:pStyle w:val="Heading1"/>
      </w:pPr>
      <w:r>
        <w:t xml:space="preserve">Les </w:t>
      </w:r>
      <w:r w:rsidRPr="00B72342">
        <w:t>initiatives</w:t>
      </w:r>
      <w:r>
        <w:t xml:space="preserve"> de sensibilisation</w:t>
      </w:r>
    </w:p>
    <w:p w14:paraId="32480F85" w14:textId="77777777" w:rsidR="00233118" w:rsidRPr="00E05852" w:rsidRDefault="00233118" w:rsidP="00E05852">
      <w:r w:rsidRPr="00E05852">
        <w:t xml:space="preserve">Pour veiller à ce que les stations de radio commerciale en dehors des marchés désignés, y compris les stations desservant des communautés ethnoculturelles et autochtones et aussi celles qui ne sont pas membres de l’ACR, soient au courant du nouveau fonds, l’ACR utilisera divers moyens pour faire savoir que le fonds est disponible comme des annonces dans les médias et l’affichage de messages sur les médias sociaux dont X et </w:t>
      </w:r>
      <w:proofErr w:type="spellStart"/>
      <w:r w:rsidRPr="00E05852">
        <w:t>Linked</w:t>
      </w:r>
      <w:proofErr w:type="spellEnd"/>
      <w:r w:rsidRPr="00E05852">
        <w:t xml:space="preserve"> In. Elle en fera également mention sur son site Web et dans son bulletin à l’intention de l’industrie.</w:t>
      </w:r>
    </w:p>
    <w:p w14:paraId="118834F1" w14:textId="77777777" w:rsidR="00233118" w:rsidRPr="00B72342" w:rsidRDefault="00233118" w:rsidP="00E05852">
      <w:pPr>
        <w:pStyle w:val="Heading1"/>
      </w:pPr>
      <w:r>
        <w:t xml:space="preserve">Les </w:t>
      </w:r>
      <w:proofErr w:type="spellStart"/>
      <w:r>
        <w:t>détails</w:t>
      </w:r>
      <w:proofErr w:type="spellEnd"/>
      <w:r>
        <w:t xml:space="preserve"> </w:t>
      </w:r>
      <w:proofErr w:type="spellStart"/>
      <w:r>
        <w:t>d’ordre</w:t>
      </w:r>
      <w:proofErr w:type="spellEnd"/>
      <w:r>
        <w:t xml:space="preserve"> </w:t>
      </w:r>
      <w:proofErr w:type="spellStart"/>
      <w:r>
        <w:t>o</w:t>
      </w:r>
      <w:r w:rsidRPr="00B72342">
        <w:t>p</w:t>
      </w:r>
      <w:r>
        <w:t>é</w:t>
      </w:r>
      <w:r w:rsidRPr="00B72342">
        <w:t>ration</w:t>
      </w:r>
      <w:r>
        <w:t>ne</w:t>
      </w:r>
      <w:r w:rsidRPr="00B72342">
        <w:t>l</w:t>
      </w:r>
      <w:proofErr w:type="spellEnd"/>
    </w:p>
    <w:p w14:paraId="3163C0F1" w14:textId="77777777" w:rsidR="00233118" w:rsidRPr="00B72342" w:rsidRDefault="00233118" w:rsidP="00E05852">
      <w:r>
        <w:t>Tout paiement de la part des entreprises en ligne doit être fait à l’ordre de l’Association canadienne des radiodiffuseurs (ACR). Le dépôt direct est également possible.</w:t>
      </w:r>
      <w:r w:rsidRPr="00B72342">
        <w:t xml:space="preserve"> </w:t>
      </w:r>
    </w:p>
    <w:p w14:paraId="6AB89EFC" w14:textId="77777777" w:rsidR="00233118" w:rsidRPr="00B72342" w:rsidRDefault="00233118" w:rsidP="00E05852">
      <w:r>
        <w:t xml:space="preserve">L’ACR traitera tous les renseignements qu’elle recevra selon des mesures strictes de responsabilité professionnelle et de reddition de comptes, et avec le même niveau de confidentialité que celui accordé par le </w:t>
      </w:r>
      <w:r w:rsidRPr="00B72342">
        <w:t xml:space="preserve">CRTC. </w:t>
      </w:r>
      <w:r>
        <w:t>Les renseignements c</w:t>
      </w:r>
      <w:r w:rsidRPr="00B72342">
        <w:t>onfidenti</w:t>
      </w:r>
      <w:r>
        <w:t>e</w:t>
      </w:r>
      <w:r w:rsidRPr="00B72342">
        <w:t>l</w:t>
      </w:r>
      <w:r>
        <w:t xml:space="preserve">s qui seront fournis par les bénéficiaires pour le calcul de l’allocation du financement ne seront en aucun cas transmis aux membres de l’Association ou au personnel chargé des activités pour défendre les intérêts des membres. </w:t>
      </w:r>
    </w:p>
    <w:p w14:paraId="7C3CB505" w14:textId="77777777" w:rsidR="00D20F94" w:rsidRPr="00233118" w:rsidRDefault="00D20F94" w:rsidP="00E05852"/>
    <w:sectPr w:rsidR="00D20F94" w:rsidRPr="00233118" w:rsidSect="00E05852">
      <w:headerReference w:type="default" r:id="rId9"/>
      <w:headerReference w:type="first" r:id="rId10"/>
      <w:pgSz w:w="12240" w:h="15840"/>
      <w:pgMar w:top="1440" w:right="1440" w:bottom="1008" w:left="1440"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AEBF7" w14:textId="77777777" w:rsidR="007104B2" w:rsidRDefault="007104B2" w:rsidP="00E05852">
      <w:r>
        <w:separator/>
      </w:r>
    </w:p>
  </w:endnote>
  <w:endnote w:type="continuationSeparator" w:id="0">
    <w:p w14:paraId="436CF800" w14:textId="77777777" w:rsidR="007104B2" w:rsidRDefault="007104B2" w:rsidP="00E0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334A4" w14:textId="77777777" w:rsidR="007104B2" w:rsidRDefault="007104B2" w:rsidP="00E05852">
      <w:r>
        <w:separator/>
      </w:r>
    </w:p>
  </w:footnote>
  <w:footnote w:type="continuationSeparator" w:id="0">
    <w:p w14:paraId="6DDE580D" w14:textId="77777777" w:rsidR="007104B2" w:rsidRDefault="007104B2" w:rsidP="00E05852">
      <w:r>
        <w:continuationSeparator/>
      </w:r>
    </w:p>
  </w:footnote>
  <w:footnote w:id="1">
    <w:p w14:paraId="47B80CFA" w14:textId="77777777" w:rsidR="00233118" w:rsidRPr="00BA2EE5" w:rsidRDefault="00233118" w:rsidP="00E05852">
      <w:pPr>
        <w:pStyle w:val="FootnoteText"/>
        <w:rPr>
          <w:i/>
          <w:iCs/>
        </w:rPr>
      </w:pPr>
      <w:r>
        <w:rPr>
          <w:rStyle w:val="FootnoteReference"/>
        </w:rPr>
        <w:footnoteRef/>
      </w:r>
      <w:r w:rsidRPr="00233118">
        <w:t xml:space="preserve"> </w:t>
      </w:r>
      <w:r w:rsidRPr="00BA2EE5">
        <w:t>Selon la d</w:t>
      </w:r>
      <w:r>
        <w:t>é</w:t>
      </w:r>
      <w:r w:rsidRPr="00BA2EE5">
        <w:t>finition do</w:t>
      </w:r>
      <w:r>
        <w:t>nn</w:t>
      </w:r>
      <w:r w:rsidRPr="00BA2EE5">
        <w:t xml:space="preserve">ée dans le </w:t>
      </w:r>
      <w:hyperlink r:id="rId1" w:history="1">
        <w:r w:rsidRPr="00BA2EE5">
          <w:rPr>
            <w:rStyle w:val="Hyperlink"/>
            <w:i/>
            <w:iCs/>
          </w:rPr>
          <w:t>Règlement de 1986</w:t>
        </w:r>
      </w:hyperlink>
      <w:r w:rsidRPr="00BA2EE5">
        <w:rPr>
          <w:rStyle w:val="Hyperlink"/>
          <w:i/>
          <w:iCs/>
        </w:rPr>
        <w:t xml:space="preserve"> sur la radio</w:t>
      </w:r>
      <w:r w:rsidRPr="00BA2EE5">
        <w:rPr>
          <w:i/>
          <w:iCs/>
        </w:rPr>
        <w:t>.</w:t>
      </w:r>
    </w:p>
  </w:footnote>
  <w:footnote w:id="2">
    <w:p w14:paraId="7AD6AE14" w14:textId="77777777" w:rsidR="00233118" w:rsidRPr="00233118" w:rsidRDefault="00233118" w:rsidP="00E05852">
      <w:pPr>
        <w:pStyle w:val="FootnoteText"/>
      </w:pPr>
      <w:r w:rsidRPr="004C5EBE">
        <w:rPr>
          <w:rStyle w:val="FootnoteReference"/>
        </w:rPr>
        <w:footnoteRef/>
      </w:r>
      <w:r w:rsidRPr="004C5EBE">
        <w:t xml:space="preserve"> </w:t>
      </w:r>
      <w:r>
        <w:t xml:space="preserve">Étant donné qu’à l’heure actuelle seuls les groupes de radio qui gagnent plus de 5 millions de dollars remplissent ce formulaire, les groupes de radio qui gagnent moins rapporteraient ce renseignement directement à l’ACR.    </w:t>
      </w:r>
    </w:p>
  </w:footnote>
  <w:footnote w:id="3">
    <w:p w14:paraId="18E13E9D" w14:textId="77777777" w:rsidR="00233118" w:rsidRPr="00CB05C6" w:rsidRDefault="00233118" w:rsidP="00E05852">
      <w:pPr>
        <w:pStyle w:val="FootnoteText"/>
      </w:pPr>
      <w:r>
        <w:rPr>
          <w:rStyle w:val="FootnoteReference"/>
        </w:rPr>
        <w:footnoteRef/>
      </w:r>
      <w:r w:rsidRPr="00CB05C6">
        <w:t xml:space="preserve"> Cette limite </w:t>
      </w:r>
      <w:r>
        <w:t xml:space="preserve">correspond à </w:t>
      </w:r>
      <w:r w:rsidRPr="00CB05C6">
        <w:t>celle impos</w:t>
      </w:r>
      <w:r>
        <w:t>é</w:t>
      </w:r>
      <w:r w:rsidRPr="00CB05C6">
        <w:t xml:space="preserve">e </w:t>
      </w:r>
      <w:r>
        <w:t>par l</w:t>
      </w:r>
      <w:r w:rsidRPr="00CB05C6">
        <w:t xml:space="preserve">e CRTC </w:t>
      </w:r>
      <w:r>
        <w:t>en ce qui concerne le FNLI et à la limite établie par le gouvernement pour le fonds de soutien d’urgence relatif à la COVID</w:t>
      </w:r>
      <w:r w:rsidRPr="00CB05C6">
        <w:t>-19</w:t>
      </w:r>
      <w:r>
        <w:t xml:space="preserve"> et le fonds de rétablissement pour le soutien </w:t>
      </w:r>
      <w:proofErr w:type="gramStart"/>
      <w:r>
        <w:t>des nouvelles relatif</w:t>
      </w:r>
      <w:proofErr w:type="gramEnd"/>
      <w:r>
        <w:t xml:space="preserve"> à la </w:t>
      </w:r>
      <w:r w:rsidRPr="00CB05C6">
        <w:t>COVID</w:t>
      </w:r>
      <w:r w:rsidRPr="00CB05C6">
        <w:noBreakHyphen/>
        <w:t>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7B2F2" w14:textId="77777777" w:rsidR="00233118" w:rsidRPr="00E05852" w:rsidRDefault="00233118" w:rsidP="00E05852">
    <w:pPr>
      <w:pStyle w:val="Header"/>
      <w:pBdr>
        <w:bottom w:val="single" w:sz="8" w:space="1" w:color="29123A"/>
      </w:pBdr>
      <w:tabs>
        <w:tab w:val="clear" w:pos="4680"/>
      </w:tabs>
      <w:rPr>
        <w:i/>
        <w:iCs/>
        <w:color w:val="29123A"/>
        <w:sz w:val="22"/>
        <w:szCs w:val="20"/>
        <w:lang w:val="en-CA"/>
      </w:rPr>
    </w:pPr>
    <w:r w:rsidRPr="00E05852">
      <w:rPr>
        <w:i/>
        <w:iCs/>
        <w:color w:val="29123A"/>
        <w:sz w:val="22"/>
        <w:szCs w:val="20"/>
        <w:lang w:val="en-CA"/>
      </w:rPr>
      <w:t>Le plan opérationnel proposé par l’ACR pour le FNRC</w:t>
    </w:r>
    <w:r w:rsidRPr="00E05852">
      <w:rPr>
        <w:i/>
        <w:iCs/>
        <w:color w:val="29123A"/>
        <w:sz w:val="22"/>
        <w:szCs w:val="20"/>
        <w:lang w:val="en-CA"/>
      </w:rPr>
      <w:tab/>
    </w:r>
    <w:r w:rsidRPr="00E05852">
      <w:rPr>
        <w:i/>
        <w:iCs/>
        <w:color w:val="29123A"/>
        <w:sz w:val="22"/>
        <w:szCs w:val="20"/>
        <w:lang w:val="en-CA"/>
      </w:rPr>
      <w:fldChar w:fldCharType="begin"/>
    </w:r>
    <w:r w:rsidRPr="00E05852">
      <w:rPr>
        <w:i/>
        <w:iCs/>
        <w:color w:val="29123A"/>
        <w:sz w:val="22"/>
        <w:szCs w:val="20"/>
        <w:lang w:val="en-CA"/>
      </w:rPr>
      <w:instrText xml:space="preserve"> PAGE   \* MERGEFORMAT </w:instrText>
    </w:r>
    <w:r w:rsidRPr="00E05852">
      <w:rPr>
        <w:i/>
        <w:iCs/>
        <w:color w:val="29123A"/>
        <w:sz w:val="22"/>
        <w:szCs w:val="20"/>
        <w:lang w:val="en-CA"/>
      </w:rPr>
      <w:fldChar w:fldCharType="separate"/>
    </w:r>
    <w:r w:rsidRPr="00E05852">
      <w:rPr>
        <w:i/>
        <w:iCs/>
        <w:color w:val="29123A"/>
        <w:sz w:val="22"/>
        <w:szCs w:val="20"/>
        <w:lang w:val="en-CA"/>
      </w:rPr>
      <w:t>4</w:t>
    </w:r>
    <w:r w:rsidRPr="00E05852">
      <w:rPr>
        <w:i/>
        <w:iCs/>
        <w:color w:val="29123A"/>
        <w:sz w:val="22"/>
        <w:szCs w:val="20"/>
        <w:lang w:val="en-CA"/>
      </w:rPr>
      <w:fldChar w:fldCharType="end"/>
    </w:r>
  </w:p>
  <w:p w14:paraId="1E971912" w14:textId="77777777" w:rsidR="00E05852" w:rsidRPr="00E05852" w:rsidRDefault="00E05852" w:rsidP="00E05852">
    <w:pPr>
      <w:pStyle w:val="Header"/>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ED3A2" w14:textId="762D90B4" w:rsidR="00D20F94" w:rsidRPr="00ED5239" w:rsidRDefault="00190813" w:rsidP="00E05852">
    <w:pPr>
      <w:pStyle w:val="NoSpacing"/>
      <w:pBdr>
        <w:bottom w:val="single" w:sz="6" w:space="1" w:color="auto"/>
      </w:pBdr>
      <w:tabs>
        <w:tab w:val="right" w:pos="9360"/>
      </w:tabs>
      <w:rPr>
        <w:b/>
        <w:bCs/>
        <w:color w:val="34144C"/>
        <w:sz w:val="36"/>
        <w:szCs w:val="36"/>
        <w:lang w:val="fr-FR"/>
      </w:rPr>
    </w:pPr>
    <w:r>
      <w:rPr>
        <w:b/>
        <w:bCs/>
        <w:color w:val="34144C"/>
        <w:sz w:val="24"/>
        <w:szCs w:val="24"/>
        <w:lang w:val="fr-FR"/>
      </w:rPr>
      <w:t>Association canadienne des radiodiffuseurs</w:t>
    </w:r>
    <w:r w:rsidR="00E05852">
      <w:rPr>
        <w:b/>
        <w:bCs/>
        <w:color w:val="34144C"/>
        <w:sz w:val="24"/>
        <w:szCs w:val="24"/>
        <w:lang w:val="fr-FR"/>
      </w:rPr>
      <w:tab/>
    </w:r>
    <w:r w:rsidR="00D20F94">
      <w:rPr>
        <w:b/>
        <w:bCs/>
        <w:noProof/>
        <w:color w:val="34144C"/>
        <w:sz w:val="36"/>
        <w:szCs w:val="36"/>
      </w:rPr>
      <w:drawing>
        <wp:inline distT="0" distB="0" distL="0" distR="0" wp14:anchorId="64A9AFA3" wp14:editId="5CC3EC7C">
          <wp:extent cx="1188720" cy="648512"/>
          <wp:effectExtent l="0" t="0" r="0" b="0"/>
          <wp:docPr id="226591035" name="Picture 22659103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16673" cy="663762"/>
                  </a:xfrm>
                  <a:prstGeom prst="rect">
                    <a:avLst/>
                  </a:prstGeom>
                </pic:spPr>
              </pic:pic>
            </a:graphicData>
          </a:graphic>
        </wp:inline>
      </w:drawing>
    </w:r>
  </w:p>
  <w:p w14:paraId="6282ECE8" w14:textId="553EE02C" w:rsidR="00D20F94" w:rsidRPr="00C42EFD" w:rsidRDefault="00C42EFD" w:rsidP="00E05852">
    <w:pPr>
      <w:pStyle w:val="Header"/>
      <w:jc w:val="right"/>
    </w:pPr>
    <w:r w:rsidRPr="00C42EFD">
      <w:t>Le 4</w:t>
    </w:r>
    <w:r>
      <w:t xml:space="preserve"> juillet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41F73"/>
    <w:multiLevelType w:val="hybridMultilevel"/>
    <w:tmpl w:val="4C105B4E"/>
    <w:lvl w:ilvl="0" w:tplc="2E1E8DD4">
      <w:start w:val="1"/>
      <w:numFmt w:val="bullet"/>
      <w:pStyle w:val="List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8C05950"/>
    <w:multiLevelType w:val="hybridMultilevel"/>
    <w:tmpl w:val="18D40378"/>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A7D070B"/>
    <w:multiLevelType w:val="hybridMultilevel"/>
    <w:tmpl w:val="E6447846"/>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417A5F"/>
    <w:multiLevelType w:val="hybridMultilevel"/>
    <w:tmpl w:val="A0FA265A"/>
    <w:lvl w:ilvl="0" w:tplc="10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180D4A"/>
    <w:multiLevelType w:val="hybridMultilevel"/>
    <w:tmpl w:val="F9A831A6"/>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9B453B1"/>
    <w:multiLevelType w:val="hybridMultilevel"/>
    <w:tmpl w:val="EBC819A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AE877CD"/>
    <w:multiLevelType w:val="hybridMultilevel"/>
    <w:tmpl w:val="F85C6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823B3E"/>
    <w:multiLevelType w:val="hybridMultilevel"/>
    <w:tmpl w:val="FE7207EE"/>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247E32"/>
    <w:multiLevelType w:val="hybridMultilevel"/>
    <w:tmpl w:val="37B45206"/>
    <w:lvl w:ilvl="0" w:tplc="10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5D049FA"/>
    <w:multiLevelType w:val="hybridMultilevel"/>
    <w:tmpl w:val="7DC8D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EA7C61"/>
    <w:multiLevelType w:val="hybridMultilevel"/>
    <w:tmpl w:val="BB22BD4A"/>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D054263"/>
    <w:multiLevelType w:val="hybridMultilevel"/>
    <w:tmpl w:val="35CEB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1E7D64"/>
    <w:multiLevelType w:val="hybridMultilevel"/>
    <w:tmpl w:val="335486C6"/>
    <w:lvl w:ilvl="0" w:tplc="0CC64526">
      <w:start w:val="1"/>
      <w:numFmt w:val="decimal"/>
      <w:lvlText w:val="%1)"/>
      <w:lvlJc w:val="left"/>
      <w:pPr>
        <w:ind w:left="360" w:hanging="360"/>
      </w:pPr>
      <w:rPr>
        <w:rFonts w:hint="default"/>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38A83C4A"/>
    <w:multiLevelType w:val="hybridMultilevel"/>
    <w:tmpl w:val="60C6F6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A836E8"/>
    <w:multiLevelType w:val="hybridMultilevel"/>
    <w:tmpl w:val="4F947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6C77A12"/>
    <w:multiLevelType w:val="hybridMultilevel"/>
    <w:tmpl w:val="BCAA776E"/>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9644138"/>
    <w:multiLevelType w:val="hybridMultilevel"/>
    <w:tmpl w:val="78F6D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332561"/>
    <w:multiLevelType w:val="hybridMultilevel"/>
    <w:tmpl w:val="44E09E2A"/>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F703981"/>
    <w:multiLevelType w:val="hybridMultilevel"/>
    <w:tmpl w:val="9AB4560E"/>
    <w:lvl w:ilvl="0" w:tplc="8B40C05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FA2466F"/>
    <w:multiLevelType w:val="hybridMultilevel"/>
    <w:tmpl w:val="AA38BB88"/>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3B636F7"/>
    <w:multiLevelType w:val="hybridMultilevel"/>
    <w:tmpl w:val="C6CCF59C"/>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41455F8"/>
    <w:multiLevelType w:val="hybridMultilevel"/>
    <w:tmpl w:val="A168879E"/>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4230831"/>
    <w:multiLevelType w:val="hybridMultilevel"/>
    <w:tmpl w:val="7ACC562C"/>
    <w:lvl w:ilvl="0" w:tplc="3E62AC52">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46F6B0F"/>
    <w:multiLevelType w:val="hybridMultilevel"/>
    <w:tmpl w:val="E5081C8C"/>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8312166"/>
    <w:multiLevelType w:val="hybridMultilevel"/>
    <w:tmpl w:val="0900A8E2"/>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6E1FD3"/>
    <w:multiLevelType w:val="hybridMultilevel"/>
    <w:tmpl w:val="1B7CC012"/>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B091ED8"/>
    <w:multiLevelType w:val="hybridMultilevel"/>
    <w:tmpl w:val="5E4CF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B44CF3"/>
    <w:multiLevelType w:val="hybridMultilevel"/>
    <w:tmpl w:val="9C0E688C"/>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C8644C2"/>
    <w:multiLevelType w:val="hybridMultilevel"/>
    <w:tmpl w:val="AECC72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DCF2402"/>
    <w:multiLevelType w:val="hybridMultilevel"/>
    <w:tmpl w:val="20F23790"/>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7F4D2D"/>
    <w:multiLevelType w:val="hybridMultilevel"/>
    <w:tmpl w:val="0A6C4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4B6F54"/>
    <w:multiLevelType w:val="hybridMultilevel"/>
    <w:tmpl w:val="77B86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7E1B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DA533E5"/>
    <w:multiLevelType w:val="hybridMultilevel"/>
    <w:tmpl w:val="0B3077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DD25F89"/>
    <w:multiLevelType w:val="hybridMultilevel"/>
    <w:tmpl w:val="AA3C3662"/>
    <w:lvl w:ilvl="0" w:tplc="FFFFFFFF">
      <w:start w:val="1"/>
      <w:numFmt w:val="lowerLetter"/>
      <w:lvlText w:val=""/>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6197B56"/>
    <w:multiLevelType w:val="hybridMultilevel"/>
    <w:tmpl w:val="5B286826"/>
    <w:lvl w:ilvl="0" w:tplc="8B40C056">
      <w:numFmt w:val="bullet"/>
      <w:lvlText w:val="-"/>
      <w:lvlJc w:val="left"/>
      <w:pPr>
        <w:ind w:left="1353" w:hanging="360"/>
      </w:pPr>
      <w:rPr>
        <w:rFonts w:ascii="Calibri" w:eastAsiaTheme="minorHAnsi" w:hAnsi="Calibri" w:cs="Calibri"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36" w15:restartNumberingAfterBreak="0">
    <w:nsid w:val="7ADD33E2"/>
    <w:multiLevelType w:val="hybridMultilevel"/>
    <w:tmpl w:val="99A6F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1394898">
    <w:abstractNumId w:val="9"/>
  </w:num>
  <w:num w:numId="2" w16cid:durableId="1745300302">
    <w:abstractNumId w:val="36"/>
  </w:num>
  <w:num w:numId="3" w16cid:durableId="1614243702">
    <w:abstractNumId w:val="26"/>
  </w:num>
  <w:num w:numId="4" w16cid:durableId="280309397">
    <w:abstractNumId w:val="35"/>
  </w:num>
  <w:num w:numId="5" w16cid:durableId="1488785000">
    <w:abstractNumId w:val="33"/>
  </w:num>
  <w:num w:numId="6" w16cid:durableId="1577086604">
    <w:abstractNumId w:val="0"/>
  </w:num>
  <w:num w:numId="7" w16cid:durableId="1820808179">
    <w:abstractNumId w:val="31"/>
  </w:num>
  <w:num w:numId="8" w16cid:durableId="164252161">
    <w:abstractNumId w:val="30"/>
  </w:num>
  <w:num w:numId="9" w16cid:durableId="1059936018">
    <w:abstractNumId w:val="6"/>
  </w:num>
  <w:num w:numId="10" w16cid:durableId="493185009">
    <w:abstractNumId w:val="18"/>
  </w:num>
  <w:num w:numId="11" w16cid:durableId="873661320">
    <w:abstractNumId w:val="13"/>
  </w:num>
  <w:num w:numId="12" w16cid:durableId="1512992413">
    <w:abstractNumId w:val="22"/>
  </w:num>
  <w:num w:numId="13" w16cid:durableId="440952501">
    <w:abstractNumId w:val="12"/>
  </w:num>
  <w:num w:numId="14" w16cid:durableId="1392313232">
    <w:abstractNumId w:val="32"/>
  </w:num>
  <w:num w:numId="15" w16cid:durableId="550842898">
    <w:abstractNumId w:val="8"/>
  </w:num>
  <w:num w:numId="16" w16cid:durableId="1948461706">
    <w:abstractNumId w:val="5"/>
  </w:num>
  <w:num w:numId="17" w16cid:durableId="2117210730">
    <w:abstractNumId w:val="4"/>
  </w:num>
  <w:num w:numId="18" w16cid:durableId="415980171">
    <w:abstractNumId w:val="29"/>
  </w:num>
  <w:num w:numId="19" w16cid:durableId="1633366990">
    <w:abstractNumId w:val="7"/>
  </w:num>
  <w:num w:numId="20" w16cid:durableId="1035038588">
    <w:abstractNumId w:val="15"/>
  </w:num>
  <w:num w:numId="21" w16cid:durableId="647444255">
    <w:abstractNumId w:val="23"/>
  </w:num>
  <w:num w:numId="22" w16cid:durableId="103426496">
    <w:abstractNumId w:val="24"/>
  </w:num>
  <w:num w:numId="23" w16cid:durableId="1462071588">
    <w:abstractNumId w:val="17"/>
  </w:num>
  <w:num w:numId="24" w16cid:durableId="488205508">
    <w:abstractNumId w:val="25"/>
  </w:num>
  <w:num w:numId="25" w16cid:durableId="1524830377">
    <w:abstractNumId w:val="27"/>
  </w:num>
  <w:num w:numId="26" w16cid:durableId="1374310331">
    <w:abstractNumId w:val="2"/>
  </w:num>
  <w:num w:numId="27" w16cid:durableId="1541288078">
    <w:abstractNumId w:val="34"/>
  </w:num>
  <w:num w:numId="28" w16cid:durableId="272515640">
    <w:abstractNumId w:val="10"/>
  </w:num>
  <w:num w:numId="29" w16cid:durableId="1051728065">
    <w:abstractNumId w:val="19"/>
  </w:num>
  <w:num w:numId="30" w16cid:durableId="1913664240">
    <w:abstractNumId w:val="21"/>
  </w:num>
  <w:num w:numId="31" w16cid:durableId="227035289">
    <w:abstractNumId w:val="20"/>
  </w:num>
  <w:num w:numId="32" w16cid:durableId="1751077685">
    <w:abstractNumId w:val="3"/>
  </w:num>
  <w:num w:numId="33" w16cid:durableId="1496144124">
    <w:abstractNumId w:val="1"/>
  </w:num>
  <w:num w:numId="34" w16cid:durableId="232399866">
    <w:abstractNumId w:val="28"/>
  </w:num>
  <w:num w:numId="35" w16cid:durableId="1533497634">
    <w:abstractNumId w:val="16"/>
  </w:num>
  <w:num w:numId="36" w16cid:durableId="575895320">
    <w:abstractNumId w:val="11"/>
  </w:num>
  <w:num w:numId="37" w16cid:durableId="5623278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4B2"/>
    <w:rsid w:val="00001F73"/>
    <w:rsid w:val="00004DF1"/>
    <w:rsid w:val="00015ACF"/>
    <w:rsid w:val="0004697A"/>
    <w:rsid w:val="00065B9C"/>
    <w:rsid w:val="000E5689"/>
    <w:rsid w:val="0010234A"/>
    <w:rsid w:val="001136B8"/>
    <w:rsid w:val="0013112F"/>
    <w:rsid w:val="00177260"/>
    <w:rsid w:val="00190813"/>
    <w:rsid w:val="00190A0E"/>
    <w:rsid w:val="0021732A"/>
    <w:rsid w:val="00232286"/>
    <w:rsid w:val="00233118"/>
    <w:rsid w:val="00292F77"/>
    <w:rsid w:val="002D0A5B"/>
    <w:rsid w:val="003125A4"/>
    <w:rsid w:val="003508AC"/>
    <w:rsid w:val="00350DC3"/>
    <w:rsid w:val="00365FF7"/>
    <w:rsid w:val="003914B1"/>
    <w:rsid w:val="00440365"/>
    <w:rsid w:val="0047469B"/>
    <w:rsid w:val="00482FEE"/>
    <w:rsid w:val="00487C50"/>
    <w:rsid w:val="004C2661"/>
    <w:rsid w:val="004C2C25"/>
    <w:rsid w:val="004C3D6E"/>
    <w:rsid w:val="004D6BB6"/>
    <w:rsid w:val="004E06C5"/>
    <w:rsid w:val="004E5587"/>
    <w:rsid w:val="00566D0E"/>
    <w:rsid w:val="005A5F8D"/>
    <w:rsid w:val="005B49F0"/>
    <w:rsid w:val="005B6C72"/>
    <w:rsid w:val="00606D37"/>
    <w:rsid w:val="00636EA2"/>
    <w:rsid w:val="006513C0"/>
    <w:rsid w:val="00661642"/>
    <w:rsid w:val="00673101"/>
    <w:rsid w:val="00683C01"/>
    <w:rsid w:val="006C2B46"/>
    <w:rsid w:val="006E298D"/>
    <w:rsid w:val="007104B2"/>
    <w:rsid w:val="00735451"/>
    <w:rsid w:val="008300EC"/>
    <w:rsid w:val="00861EAB"/>
    <w:rsid w:val="00901898"/>
    <w:rsid w:val="0090751E"/>
    <w:rsid w:val="00953072"/>
    <w:rsid w:val="009D3204"/>
    <w:rsid w:val="009E284D"/>
    <w:rsid w:val="00A31913"/>
    <w:rsid w:val="00A801DD"/>
    <w:rsid w:val="00AA3F3C"/>
    <w:rsid w:val="00AB3E03"/>
    <w:rsid w:val="00AC7B2B"/>
    <w:rsid w:val="00B11E9C"/>
    <w:rsid w:val="00B643A0"/>
    <w:rsid w:val="00BB347A"/>
    <w:rsid w:val="00BD3CC4"/>
    <w:rsid w:val="00BD4C82"/>
    <w:rsid w:val="00BF434C"/>
    <w:rsid w:val="00C3405B"/>
    <w:rsid w:val="00C42EFD"/>
    <w:rsid w:val="00CA0BFF"/>
    <w:rsid w:val="00CD3EB1"/>
    <w:rsid w:val="00D20F94"/>
    <w:rsid w:val="00D21F41"/>
    <w:rsid w:val="00DA31F7"/>
    <w:rsid w:val="00E05852"/>
    <w:rsid w:val="00EA71B5"/>
    <w:rsid w:val="00ED5239"/>
    <w:rsid w:val="00EE7002"/>
    <w:rsid w:val="00F05B0B"/>
    <w:rsid w:val="00F43F50"/>
    <w:rsid w:val="00F66320"/>
    <w:rsid w:val="00F8568B"/>
    <w:rsid w:val="00F91BE7"/>
    <w:rsid w:val="00FA3318"/>
    <w:rsid w:val="00FE41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B291F"/>
  <w15:chartTrackingRefBased/>
  <w15:docId w15:val="{33857E53-632D-4BD7-BEBD-D09FEDC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852"/>
    <w:pPr>
      <w:spacing w:line="240" w:lineRule="auto"/>
    </w:pPr>
    <w:rPr>
      <w:sz w:val="24"/>
      <w:szCs w:val="24"/>
      <w:lang w:val="fr-CA"/>
    </w:rPr>
  </w:style>
  <w:style w:type="paragraph" w:styleId="Heading1">
    <w:name w:val="heading 1"/>
    <w:basedOn w:val="Header1"/>
    <w:next w:val="Normal"/>
    <w:link w:val="Heading1Char"/>
    <w:uiPriority w:val="9"/>
    <w:qFormat/>
    <w:rsid w:val="00E05852"/>
    <w:pPr>
      <w:keepNext/>
      <w:keepLines/>
      <w:spacing w:before="240" w:after="120"/>
      <w:jc w:val="left"/>
      <w:outlineLvl w:val="0"/>
    </w:pPr>
    <w:rPr>
      <w:rFonts w:asciiTheme="majorHAnsi" w:eastAsiaTheme="majorEastAsia" w:hAnsiTheme="majorHAnsi" w:cstheme="majorBidi"/>
      <w:color w:val="421C5E"/>
      <w:sz w:val="28"/>
      <w:szCs w:val="28"/>
    </w:rPr>
  </w:style>
  <w:style w:type="paragraph" w:styleId="Heading2">
    <w:name w:val="heading 2"/>
    <w:basedOn w:val="Header2"/>
    <w:next w:val="Normal"/>
    <w:link w:val="Heading2Char"/>
    <w:uiPriority w:val="9"/>
    <w:unhideWhenUsed/>
    <w:qFormat/>
    <w:rsid w:val="00F05B0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B2"/>
    <w:pPr>
      <w:tabs>
        <w:tab w:val="center" w:pos="4680"/>
        <w:tab w:val="right" w:pos="9360"/>
      </w:tabs>
      <w:spacing w:after="0"/>
    </w:pPr>
  </w:style>
  <w:style w:type="character" w:customStyle="1" w:styleId="HeaderChar">
    <w:name w:val="Header Char"/>
    <w:basedOn w:val="DefaultParagraphFont"/>
    <w:link w:val="Header"/>
    <w:uiPriority w:val="99"/>
    <w:rsid w:val="007104B2"/>
  </w:style>
  <w:style w:type="paragraph" w:styleId="Footer">
    <w:name w:val="footer"/>
    <w:basedOn w:val="Normal"/>
    <w:link w:val="FooterChar"/>
    <w:uiPriority w:val="99"/>
    <w:unhideWhenUsed/>
    <w:rsid w:val="007104B2"/>
    <w:pPr>
      <w:tabs>
        <w:tab w:val="center" w:pos="4680"/>
        <w:tab w:val="right" w:pos="9360"/>
      </w:tabs>
      <w:spacing w:after="0"/>
    </w:pPr>
  </w:style>
  <w:style w:type="character" w:customStyle="1" w:styleId="FooterChar">
    <w:name w:val="Footer Char"/>
    <w:basedOn w:val="DefaultParagraphFont"/>
    <w:link w:val="Footer"/>
    <w:uiPriority w:val="99"/>
    <w:rsid w:val="007104B2"/>
  </w:style>
  <w:style w:type="paragraph" w:styleId="NoSpacing">
    <w:name w:val="No Spacing"/>
    <w:link w:val="NoSpacingChar"/>
    <w:uiPriority w:val="1"/>
    <w:qFormat/>
    <w:rsid w:val="007104B2"/>
    <w:pPr>
      <w:spacing w:after="0" w:line="240" w:lineRule="auto"/>
    </w:pPr>
  </w:style>
  <w:style w:type="paragraph" w:styleId="ListParagraph">
    <w:name w:val="List Paragraph"/>
    <w:basedOn w:val="Normal"/>
    <w:uiPriority w:val="34"/>
    <w:qFormat/>
    <w:rsid w:val="00B11E9C"/>
    <w:pPr>
      <w:ind w:left="720"/>
      <w:contextualSpacing/>
    </w:pPr>
  </w:style>
  <w:style w:type="paragraph" w:styleId="ListBullet">
    <w:name w:val="List Bullet"/>
    <w:basedOn w:val="ListParagraph"/>
    <w:uiPriority w:val="99"/>
    <w:unhideWhenUsed/>
    <w:qFormat/>
    <w:rsid w:val="00735451"/>
    <w:pPr>
      <w:numPr>
        <w:numId w:val="6"/>
      </w:numPr>
      <w:spacing w:before="120" w:after="0"/>
      <w:contextualSpacing w:val="0"/>
    </w:pPr>
    <w:rPr>
      <w:rFonts w:eastAsiaTheme="minorEastAsia"/>
    </w:rPr>
  </w:style>
  <w:style w:type="character" w:styleId="Hyperlink">
    <w:name w:val="Hyperlink"/>
    <w:basedOn w:val="DefaultParagraphFont"/>
    <w:uiPriority w:val="99"/>
    <w:unhideWhenUsed/>
    <w:rsid w:val="00177260"/>
    <w:rPr>
      <w:color w:val="0563C1" w:themeColor="hyperlink"/>
      <w:u w:val="single"/>
    </w:rPr>
  </w:style>
  <w:style w:type="character" w:styleId="UnresolvedMention">
    <w:name w:val="Unresolved Mention"/>
    <w:basedOn w:val="DefaultParagraphFont"/>
    <w:uiPriority w:val="99"/>
    <w:semiHidden/>
    <w:unhideWhenUsed/>
    <w:rsid w:val="00177260"/>
    <w:rPr>
      <w:color w:val="605E5C"/>
      <w:shd w:val="clear" w:color="auto" w:fill="E1DFDD"/>
    </w:rPr>
  </w:style>
  <w:style w:type="paragraph" w:customStyle="1" w:styleId="Header20">
    <w:name w:val="Header 2"/>
    <w:basedOn w:val="NoSpacing"/>
    <w:link w:val="Header2Char"/>
    <w:rsid w:val="00566D0E"/>
    <w:rPr>
      <w:b/>
      <w:bCs/>
      <w:color w:val="34144C"/>
      <w:sz w:val="28"/>
      <w:szCs w:val="28"/>
    </w:rPr>
  </w:style>
  <w:style w:type="paragraph" w:customStyle="1" w:styleId="Header1">
    <w:name w:val="Header1"/>
    <w:basedOn w:val="NoSpacing"/>
    <w:link w:val="Header1Char"/>
    <w:autoRedefine/>
    <w:rsid w:val="00566D0E"/>
    <w:pPr>
      <w:jc w:val="center"/>
    </w:pPr>
    <w:rPr>
      <w:b/>
      <w:bCs/>
      <w:color w:val="34144C"/>
      <w:sz w:val="32"/>
      <w:szCs w:val="32"/>
    </w:rPr>
  </w:style>
  <w:style w:type="character" w:customStyle="1" w:styleId="NoSpacingChar">
    <w:name w:val="No Spacing Char"/>
    <w:basedOn w:val="DefaultParagraphFont"/>
    <w:link w:val="NoSpacing"/>
    <w:uiPriority w:val="1"/>
    <w:rsid w:val="00566D0E"/>
  </w:style>
  <w:style w:type="character" w:customStyle="1" w:styleId="Header2Char">
    <w:name w:val="Header 2 Char"/>
    <w:basedOn w:val="NoSpacingChar"/>
    <w:link w:val="Header20"/>
    <w:rsid w:val="00566D0E"/>
    <w:rPr>
      <w:b/>
      <w:bCs/>
      <w:color w:val="34144C"/>
      <w:sz w:val="28"/>
      <w:szCs w:val="28"/>
    </w:rPr>
  </w:style>
  <w:style w:type="paragraph" w:customStyle="1" w:styleId="Header2">
    <w:name w:val="Header2"/>
    <w:basedOn w:val="Header20"/>
    <w:link w:val="Header2Char0"/>
    <w:rsid w:val="00566D0E"/>
  </w:style>
  <w:style w:type="character" w:customStyle="1" w:styleId="Header1Char">
    <w:name w:val="Header1 Char"/>
    <w:basedOn w:val="NoSpacingChar"/>
    <w:link w:val="Header1"/>
    <w:rsid w:val="00566D0E"/>
    <w:rPr>
      <w:b/>
      <w:bCs/>
      <w:color w:val="34144C"/>
      <w:sz w:val="32"/>
      <w:szCs w:val="32"/>
    </w:rPr>
  </w:style>
  <w:style w:type="paragraph" w:customStyle="1" w:styleId="Body">
    <w:name w:val="Body"/>
    <w:basedOn w:val="NoSpacing"/>
    <w:link w:val="BodyChar"/>
    <w:qFormat/>
    <w:rsid w:val="00566D0E"/>
    <w:rPr>
      <w:sz w:val="24"/>
      <w:szCs w:val="24"/>
    </w:rPr>
  </w:style>
  <w:style w:type="character" w:customStyle="1" w:styleId="Header2Char0">
    <w:name w:val="Header2 Char"/>
    <w:basedOn w:val="Header2Char"/>
    <w:link w:val="Header2"/>
    <w:rsid w:val="00566D0E"/>
    <w:rPr>
      <w:b/>
      <w:bCs/>
      <w:color w:val="34144C"/>
      <w:sz w:val="28"/>
      <w:szCs w:val="28"/>
    </w:rPr>
  </w:style>
  <w:style w:type="paragraph" w:customStyle="1" w:styleId="Default">
    <w:name w:val="Default"/>
    <w:rsid w:val="00566D0E"/>
    <w:pPr>
      <w:autoSpaceDE w:val="0"/>
      <w:autoSpaceDN w:val="0"/>
      <w:adjustRightInd w:val="0"/>
      <w:spacing w:after="0" w:line="240" w:lineRule="auto"/>
    </w:pPr>
    <w:rPr>
      <w:rFonts w:ascii="Calibri" w:hAnsi="Calibri" w:cs="Calibri"/>
      <w:color w:val="000000"/>
      <w:sz w:val="24"/>
      <w:szCs w:val="24"/>
    </w:rPr>
  </w:style>
  <w:style w:type="character" w:customStyle="1" w:styleId="BodyChar">
    <w:name w:val="Body Char"/>
    <w:basedOn w:val="NoSpacingChar"/>
    <w:link w:val="Body"/>
    <w:rsid w:val="00566D0E"/>
    <w:rPr>
      <w:sz w:val="24"/>
      <w:szCs w:val="24"/>
    </w:rPr>
  </w:style>
  <w:style w:type="character" w:customStyle="1" w:styleId="Heading1Char">
    <w:name w:val="Heading 1 Char"/>
    <w:basedOn w:val="DefaultParagraphFont"/>
    <w:link w:val="Heading1"/>
    <w:uiPriority w:val="9"/>
    <w:rsid w:val="00E05852"/>
    <w:rPr>
      <w:rFonts w:asciiTheme="majorHAnsi" w:eastAsiaTheme="majorEastAsia" w:hAnsiTheme="majorHAnsi" w:cstheme="majorBidi"/>
      <w:b/>
      <w:bCs/>
      <w:color w:val="421C5E"/>
      <w:sz w:val="28"/>
      <w:szCs w:val="28"/>
    </w:rPr>
  </w:style>
  <w:style w:type="paragraph" w:styleId="TOCHeading">
    <w:name w:val="TOC Heading"/>
    <w:basedOn w:val="Heading1"/>
    <w:next w:val="Normal"/>
    <w:uiPriority w:val="39"/>
    <w:unhideWhenUsed/>
    <w:qFormat/>
    <w:rsid w:val="00566D0E"/>
    <w:pPr>
      <w:outlineLvl w:val="9"/>
    </w:pPr>
    <w:rPr>
      <w:lang w:val="en-US"/>
    </w:rPr>
  </w:style>
  <w:style w:type="table" w:styleId="TableGrid">
    <w:name w:val="Table Grid"/>
    <w:basedOn w:val="TableNormal"/>
    <w:uiPriority w:val="39"/>
    <w:rsid w:val="00907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61EAB"/>
    <w:pPr>
      <w:spacing w:after="0"/>
    </w:pPr>
    <w:rPr>
      <w:sz w:val="20"/>
      <w:szCs w:val="20"/>
    </w:rPr>
  </w:style>
  <w:style w:type="character" w:customStyle="1" w:styleId="FootnoteTextChar">
    <w:name w:val="Footnote Text Char"/>
    <w:basedOn w:val="DefaultParagraphFont"/>
    <w:link w:val="FootnoteText"/>
    <w:uiPriority w:val="99"/>
    <w:rsid w:val="00861EAB"/>
    <w:rPr>
      <w:sz w:val="20"/>
      <w:szCs w:val="20"/>
    </w:rPr>
  </w:style>
  <w:style w:type="character" w:styleId="FootnoteReference">
    <w:name w:val="footnote reference"/>
    <w:basedOn w:val="DefaultParagraphFont"/>
    <w:uiPriority w:val="99"/>
    <w:semiHidden/>
    <w:unhideWhenUsed/>
    <w:rsid w:val="00861EAB"/>
    <w:rPr>
      <w:vertAlign w:val="superscript"/>
    </w:rPr>
  </w:style>
  <w:style w:type="character" w:styleId="PlaceholderText">
    <w:name w:val="Placeholder Text"/>
    <w:basedOn w:val="DefaultParagraphFont"/>
    <w:uiPriority w:val="99"/>
    <w:semiHidden/>
    <w:rsid w:val="006E298D"/>
    <w:rPr>
      <w:color w:val="808080"/>
    </w:rPr>
  </w:style>
  <w:style w:type="character" w:styleId="FollowedHyperlink">
    <w:name w:val="FollowedHyperlink"/>
    <w:basedOn w:val="DefaultParagraphFont"/>
    <w:uiPriority w:val="99"/>
    <w:semiHidden/>
    <w:unhideWhenUsed/>
    <w:rsid w:val="00482FEE"/>
    <w:rPr>
      <w:color w:val="954F72" w:themeColor="followedHyperlink"/>
      <w:u w:val="single"/>
    </w:rPr>
  </w:style>
  <w:style w:type="paragraph" w:styleId="TOC3">
    <w:name w:val="toc 3"/>
    <w:basedOn w:val="Normal"/>
    <w:next w:val="Normal"/>
    <w:autoRedefine/>
    <w:uiPriority w:val="39"/>
    <w:unhideWhenUsed/>
    <w:rsid w:val="0004697A"/>
    <w:pPr>
      <w:spacing w:after="100"/>
      <w:ind w:left="440"/>
    </w:pPr>
  </w:style>
  <w:style w:type="paragraph" w:styleId="TOC1">
    <w:name w:val="toc 1"/>
    <w:basedOn w:val="Normal"/>
    <w:next w:val="Normal"/>
    <w:autoRedefine/>
    <w:uiPriority w:val="39"/>
    <w:unhideWhenUsed/>
    <w:rsid w:val="00F05B0B"/>
    <w:pPr>
      <w:spacing w:after="100"/>
    </w:pPr>
    <w:rPr>
      <w:rFonts w:eastAsiaTheme="minorEastAsia"/>
      <w:b/>
      <w:lang w:eastAsia="en-CA"/>
    </w:rPr>
  </w:style>
  <w:style w:type="paragraph" w:styleId="TOC2">
    <w:name w:val="toc 2"/>
    <w:basedOn w:val="Normal"/>
    <w:next w:val="Normal"/>
    <w:autoRedefine/>
    <w:uiPriority w:val="39"/>
    <w:unhideWhenUsed/>
    <w:rsid w:val="0004697A"/>
    <w:pPr>
      <w:spacing w:after="100"/>
      <w:ind w:left="220"/>
    </w:pPr>
    <w:rPr>
      <w:rFonts w:eastAsiaTheme="minorEastAsia"/>
      <w:lang w:eastAsia="en-CA"/>
    </w:rPr>
  </w:style>
  <w:style w:type="paragraph" w:styleId="TOC4">
    <w:name w:val="toc 4"/>
    <w:basedOn w:val="Normal"/>
    <w:next w:val="Normal"/>
    <w:autoRedefine/>
    <w:uiPriority w:val="39"/>
    <w:unhideWhenUsed/>
    <w:rsid w:val="0004697A"/>
    <w:pPr>
      <w:spacing w:after="100"/>
      <w:ind w:left="660"/>
    </w:pPr>
    <w:rPr>
      <w:rFonts w:eastAsiaTheme="minorEastAsia"/>
      <w:lang w:eastAsia="en-CA"/>
    </w:rPr>
  </w:style>
  <w:style w:type="paragraph" w:styleId="TOC5">
    <w:name w:val="toc 5"/>
    <w:basedOn w:val="Normal"/>
    <w:next w:val="Normal"/>
    <w:autoRedefine/>
    <w:uiPriority w:val="39"/>
    <w:unhideWhenUsed/>
    <w:rsid w:val="0004697A"/>
    <w:pPr>
      <w:spacing w:after="100"/>
      <w:ind w:left="880"/>
    </w:pPr>
    <w:rPr>
      <w:rFonts w:eastAsiaTheme="minorEastAsia"/>
      <w:lang w:eastAsia="en-CA"/>
    </w:rPr>
  </w:style>
  <w:style w:type="paragraph" w:styleId="TOC6">
    <w:name w:val="toc 6"/>
    <w:basedOn w:val="Normal"/>
    <w:next w:val="Normal"/>
    <w:autoRedefine/>
    <w:uiPriority w:val="39"/>
    <w:unhideWhenUsed/>
    <w:rsid w:val="0004697A"/>
    <w:pPr>
      <w:spacing w:after="100"/>
      <w:ind w:left="1100"/>
    </w:pPr>
    <w:rPr>
      <w:rFonts w:eastAsiaTheme="minorEastAsia"/>
      <w:lang w:eastAsia="en-CA"/>
    </w:rPr>
  </w:style>
  <w:style w:type="paragraph" w:styleId="TOC7">
    <w:name w:val="toc 7"/>
    <w:basedOn w:val="Normal"/>
    <w:next w:val="Normal"/>
    <w:autoRedefine/>
    <w:uiPriority w:val="39"/>
    <w:unhideWhenUsed/>
    <w:rsid w:val="0004697A"/>
    <w:pPr>
      <w:spacing w:after="100"/>
      <w:ind w:left="1320"/>
    </w:pPr>
    <w:rPr>
      <w:rFonts w:eastAsiaTheme="minorEastAsia"/>
      <w:lang w:eastAsia="en-CA"/>
    </w:rPr>
  </w:style>
  <w:style w:type="paragraph" w:styleId="TOC8">
    <w:name w:val="toc 8"/>
    <w:basedOn w:val="Normal"/>
    <w:next w:val="Normal"/>
    <w:autoRedefine/>
    <w:uiPriority w:val="39"/>
    <w:unhideWhenUsed/>
    <w:rsid w:val="0004697A"/>
    <w:pPr>
      <w:spacing w:after="100"/>
      <w:ind w:left="1540"/>
    </w:pPr>
    <w:rPr>
      <w:rFonts w:eastAsiaTheme="minorEastAsia"/>
      <w:lang w:eastAsia="en-CA"/>
    </w:rPr>
  </w:style>
  <w:style w:type="paragraph" w:styleId="TOC9">
    <w:name w:val="toc 9"/>
    <w:basedOn w:val="Normal"/>
    <w:next w:val="Normal"/>
    <w:autoRedefine/>
    <w:uiPriority w:val="39"/>
    <w:unhideWhenUsed/>
    <w:rsid w:val="0004697A"/>
    <w:pPr>
      <w:spacing w:after="100"/>
      <w:ind w:left="1760"/>
    </w:pPr>
    <w:rPr>
      <w:rFonts w:eastAsiaTheme="minorEastAsia"/>
      <w:lang w:eastAsia="en-CA"/>
    </w:rPr>
  </w:style>
  <w:style w:type="character" w:customStyle="1" w:styleId="Heading2Char">
    <w:name w:val="Heading 2 Char"/>
    <w:basedOn w:val="DefaultParagraphFont"/>
    <w:link w:val="Heading2"/>
    <w:uiPriority w:val="9"/>
    <w:rsid w:val="00F05B0B"/>
    <w:rPr>
      <w:b/>
      <w:bCs/>
      <w:color w:val="34144C"/>
      <w:sz w:val="28"/>
      <w:szCs w:val="28"/>
    </w:rPr>
  </w:style>
  <w:style w:type="paragraph" w:styleId="Title">
    <w:name w:val="Title"/>
    <w:basedOn w:val="Normal"/>
    <w:next w:val="Normal"/>
    <w:link w:val="TitleChar"/>
    <w:uiPriority w:val="10"/>
    <w:qFormat/>
    <w:rsid w:val="00233118"/>
    <w:pPr>
      <w:spacing w:after="0"/>
      <w:contextualSpacing/>
      <w:jc w:val="center"/>
    </w:pPr>
    <w:rPr>
      <w:rFonts w:asciiTheme="majorHAnsi" w:eastAsiaTheme="majorEastAsia" w:hAnsiTheme="majorHAnsi" w:cstheme="majorBidi"/>
      <w:b/>
      <w:bCs/>
      <w:color w:val="421C5E"/>
      <w:spacing w:val="-7"/>
      <w:sz w:val="36"/>
      <w:szCs w:val="36"/>
    </w:rPr>
  </w:style>
  <w:style w:type="character" w:customStyle="1" w:styleId="TitleChar">
    <w:name w:val="Title Char"/>
    <w:basedOn w:val="DefaultParagraphFont"/>
    <w:link w:val="Title"/>
    <w:uiPriority w:val="10"/>
    <w:rsid w:val="00233118"/>
    <w:rPr>
      <w:rFonts w:asciiTheme="majorHAnsi" w:eastAsiaTheme="majorEastAsia" w:hAnsiTheme="majorHAnsi" w:cstheme="majorBidi"/>
      <w:b/>
      <w:bCs/>
      <w:color w:val="421C5E"/>
      <w:spacing w:val="-7"/>
      <w:sz w:val="36"/>
      <w:szCs w:val="36"/>
    </w:rPr>
  </w:style>
  <w:style w:type="paragraph" w:styleId="Subtitle">
    <w:name w:val="Subtitle"/>
    <w:basedOn w:val="Normal"/>
    <w:next w:val="Normal"/>
    <w:link w:val="SubtitleChar"/>
    <w:uiPriority w:val="11"/>
    <w:qFormat/>
    <w:rsid w:val="00233118"/>
    <w:pPr>
      <w:numPr>
        <w:ilvl w:val="1"/>
      </w:numPr>
      <w:spacing w:after="0"/>
      <w:jc w:val="center"/>
    </w:pPr>
    <w:rPr>
      <w:rFonts w:asciiTheme="majorHAnsi" w:eastAsiaTheme="majorEastAsia" w:hAnsiTheme="majorHAnsi" w:cstheme="majorBidi"/>
      <w:sz w:val="28"/>
      <w:szCs w:val="28"/>
    </w:rPr>
  </w:style>
  <w:style w:type="character" w:customStyle="1" w:styleId="SubtitleChar">
    <w:name w:val="Subtitle Char"/>
    <w:basedOn w:val="DefaultParagraphFont"/>
    <w:link w:val="Subtitle"/>
    <w:uiPriority w:val="11"/>
    <w:rsid w:val="00233118"/>
    <w:rPr>
      <w:rFonts w:asciiTheme="majorHAnsi" w:eastAsiaTheme="majorEastAsia" w:hAnsiTheme="majorHAnsi" w:cstheme="majorBidi"/>
      <w:sz w:val="28"/>
      <w:szCs w:val="28"/>
    </w:rPr>
  </w:style>
  <w:style w:type="character" w:styleId="Emphasis">
    <w:name w:val="Emphasis"/>
    <w:basedOn w:val="DefaultParagraphFont"/>
    <w:uiPriority w:val="20"/>
    <w:qFormat/>
    <w:rsid w:val="00233118"/>
    <w:rPr>
      <w:i/>
      <w:iCs/>
    </w:rPr>
  </w:style>
  <w:style w:type="paragraph" w:styleId="Quote">
    <w:name w:val="Quote"/>
    <w:basedOn w:val="Normal"/>
    <w:next w:val="Normal"/>
    <w:link w:val="QuoteChar"/>
    <w:uiPriority w:val="29"/>
    <w:qFormat/>
    <w:rsid w:val="00233118"/>
    <w:pPr>
      <w:spacing w:before="120" w:after="120"/>
      <w:ind w:left="720"/>
    </w:pPr>
    <w:rPr>
      <w:rFonts w:eastAsiaTheme="minorEastAsia"/>
      <w:i/>
      <w:iCs/>
    </w:rPr>
  </w:style>
  <w:style w:type="character" w:customStyle="1" w:styleId="QuoteChar">
    <w:name w:val="Quote Char"/>
    <w:basedOn w:val="DefaultParagraphFont"/>
    <w:link w:val="Quote"/>
    <w:uiPriority w:val="29"/>
    <w:rsid w:val="00233118"/>
    <w:rPr>
      <w:rFonts w:eastAsiaTheme="minorEastAsia"/>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tc.gc.ca/eng/archive/2024/2024-12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aws.justice.gc.ca/eng/regulations/SOR-86-982/page-1.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7C5E6-50C4-48D7-A967-34D36A5AF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1516</Words>
  <Characters>8643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Guidance on the Accessible Canada Regulations</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Accessible Canada Regulations</dc:title>
  <dc:subject/>
  <dc:creator>Lesley LeRoux</dc:creator>
  <cp:keywords/>
  <dc:description/>
  <cp:lastModifiedBy>MacArthur, Janae (CRTC)</cp:lastModifiedBy>
  <cp:revision>2</cp:revision>
  <dcterms:created xsi:type="dcterms:W3CDTF">2024-10-31T20:47:00Z</dcterms:created>
  <dcterms:modified xsi:type="dcterms:W3CDTF">2024-10-31T20:47:00Z</dcterms:modified>
</cp:coreProperties>
</file>